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D" w:rsidRPr="003B14F5" w:rsidRDefault="006F0EAA" w:rsidP="001B7BD4">
      <w:pPr>
        <w:pStyle w:val="stbilgi"/>
        <w:tabs>
          <w:tab w:val="left" w:pos="2268"/>
          <w:tab w:val="left" w:pos="5954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32" style="position:absolute;left:0;text-align:left;margin-left:100.15pt;margin-top:-2.9pt;width:260.25pt;height:202.5pt;z-index:251671552" filled="f" strokecolor="#0d0d0d [3069]" strokeweight="3pt"/>
        </w:pict>
      </w:r>
      <w:r w:rsidR="004A6473" w:rsidRPr="001A654A">
        <w:rPr>
          <w:b/>
        </w:rPr>
        <w:t xml:space="preserve"> </w:t>
      </w:r>
      <w:r w:rsidR="00825DD9" w:rsidRPr="001A654A">
        <w:rPr>
          <w:rFonts w:ascii="Verdana" w:hAnsi="Verdana"/>
          <w:b/>
        </w:rPr>
        <w:t xml:space="preserve"> </w:t>
      </w:r>
      <w:r w:rsidR="00033261" w:rsidRPr="0097442B">
        <w:rPr>
          <w:rFonts w:ascii="Arial" w:hAnsi="Arial"/>
          <w:b/>
          <w:sz w:val="24"/>
          <w:szCs w:val="24"/>
        </w:rPr>
        <w:t>MERKEZ BİNA GENEL GÜVENLİK TALİMATI</w:t>
      </w:r>
      <w:r w:rsidR="00033261">
        <w:rPr>
          <w:rFonts w:ascii="Arial" w:hAnsi="Arial"/>
          <w:b/>
          <w:sz w:val="24"/>
          <w:szCs w:val="24"/>
        </w:rPr>
        <w:br/>
      </w:r>
    </w:p>
    <w:p w:rsidR="000C07A5" w:rsidRDefault="00033261" w:rsidP="001B7BD4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63127" cy="2057400"/>
            <wp:effectExtent l="19050" t="0" r="3923" b="0"/>
            <wp:docPr id="60" name="Resim 60" descr="http://arkiv.arkitera.com/i/photo/project/17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rkiv.arkitera.com/i/photo/project/17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2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A7A">
        <w:rPr>
          <w:noProof/>
        </w:rPr>
        <w:t xml:space="preserve"> </w:t>
      </w:r>
      <w:r w:rsidR="00B924F1">
        <w:rPr>
          <w:noProof/>
        </w:rPr>
        <w:t xml:space="preserve">      </w:t>
      </w:r>
    </w:p>
    <w:p w:rsidR="0060136E" w:rsidRDefault="0060136E" w:rsidP="001B7BD4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</w:p>
    <w:p w:rsidR="00033261" w:rsidRDefault="00033261" w:rsidP="001B7BD4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</w:p>
    <w:p w:rsidR="00033261" w:rsidRDefault="00033261" w:rsidP="001B7BD4">
      <w:pPr>
        <w:pStyle w:val="stbilgi"/>
        <w:tabs>
          <w:tab w:val="left" w:pos="2268"/>
          <w:tab w:val="left" w:pos="5954"/>
        </w:tabs>
        <w:jc w:val="center"/>
        <w:rPr>
          <w:noProof/>
        </w:rPr>
      </w:pPr>
    </w:p>
    <w:p w:rsidR="00033261" w:rsidRDefault="00033261" w:rsidP="00033261">
      <w:pPr>
        <w:spacing w:before="120" w:line="360" w:lineRule="auto"/>
        <w:ind w:left="360"/>
        <w:rPr>
          <w:rFonts w:ascii="Arial" w:hAnsi="Arial" w:cs="Arial"/>
          <w:sz w:val="24"/>
        </w:rPr>
      </w:pPr>
      <w:r>
        <w:rPr>
          <w:b/>
          <w:bCs/>
          <w:sz w:val="24"/>
        </w:rPr>
        <w:t xml:space="preserve">                    </w:t>
      </w:r>
      <w:r>
        <w:rPr>
          <w:rFonts w:ascii="Arial" w:hAnsi="Arial" w:cs="Arial"/>
          <w:b/>
          <w:bCs/>
          <w:sz w:val="24"/>
        </w:rPr>
        <w:t xml:space="preserve">AMAÇ : </w:t>
      </w:r>
      <w:r>
        <w:rPr>
          <w:rFonts w:ascii="Arial" w:hAnsi="Arial" w:cs="Arial"/>
          <w:sz w:val="24"/>
        </w:rPr>
        <w:t>Bu talimat LİMAK merkez binasında acil tahliye anında yapılması gerekenleri tanımlamaktır.</w:t>
      </w:r>
    </w:p>
    <w:p w:rsidR="00033261" w:rsidRDefault="00033261" w:rsidP="005A1C4A">
      <w:pPr>
        <w:numPr>
          <w:ilvl w:val="0"/>
          <w:numId w:val="1"/>
        </w:numPr>
        <w:spacing w:before="120" w:after="0" w:line="360" w:lineRule="auto"/>
        <w:ind w:left="0" w:firstLine="720"/>
        <w:rPr>
          <w:rFonts w:ascii="Arial" w:hAnsi="Arial" w:cs="Arial"/>
          <w:sz w:val="24"/>
        </w:rPr>
      </w:pPr>
      <w:r>
        <w:rPr>
          <w:rFonts w:ascii="Arial" w:hAnsi="Arial"/>
          <w:b/>
          <w:bCs/>
          <w:sz w:val="24"/>
        </w:rPr>
        <w:t xml:space="preserve">KAPSAM : </w:t>
      </w:r>
      <w:r>
        <w:rPr>
          <w:rFonts w:ascii="Arial" w:hAnsi="Arial" w:cs="Arial"/>
          <w:sz w:val="24"/>
        </w:rPr>
        <w:t>Bu talimat merkez bina çalışanlarını kapsamaktadır.</w:t>
      </w:r>
    </w:p>
    <w:p w:rsidR="00033261" w:rsidRDefault="00033261" w:rsidP="005A1C4A">
      <w:pPr>
        <w:numPr>
          <w:ilvl w:val="0"/>
          <w:numId w:val="1"/>
        </w:numPr>
        <w:spacing w:before="120" w:after="0" w:line="360" w:lineRule="auto"/>
        <w:ind w:left="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UYGULAMA: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LİMAK binasında bulunan personelin sağlığı ve güvenliği açısından tahliyelerin derhal ve sakin bir şekilde yapılması gerekmektedir.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Acil tahliyeye neden olabilecek bazı durumlar şunlardır:</w:t>
      </w:r>
    </w:p>
    <w:p w:rsidR="00033261" w:rsidRDefault="00033261" w:rsidP="005A1C4A">
      <w:pPr>
        <w:pStyle w:val="GvdeMetni"/>
        <w:numPr>
          <w:ilvl w:val="0"/>
          <w:numId w:val="5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Yangın veya patlama</w:t>
      </w:r>
    </w:p>
    <w:p w:rsidR="00033261" w:rsidRDefault="00033261" w:rsidP="005A1C4A">
      <w:pPr>
        <w:pStyle w:val="GvdeMetni"/>
        <w:numPr>
          <w:ilvl w:val="0"/>
          <w:numId w:val="5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Gaz kaçağı</w:t>
      </w:r>
    </w:p>
    <w:p w:rsidR="00033261" w:rsidRDefault="00033261" w:rsidP="005A1C4A">
      <w:pPr>
        <w:pStyle w:val="GvdeMetni"/>
        <w:numPr>
          <w:ilvl w:val="0"/>
          <w:numId w:val="5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b/>
          <w:bCs/>
        </w:rPr>
      </w:pPr>
      <w:r>
        <w:rPr>
          <w:rFonts w:cs="Arial"/>
        </w:rPr>
        <w:t>Deprem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Yangın veya acil durum hallerinde, çalışma alanındaki personelin tahliye sırasında tuzağa düşme veya yaralanma riskleri mevcuttur.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 xml:space="preserve">Bu değerlendirmenin amacı acil durumların kaynağını ve acil durumlarda tehlike altında olabilecek personelini tanımlamaktır. 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Bu değerlendirme ele alınırken dikkat edilmesi gereken hususlar şunlardır :</w:t>
      </w:r>
    </w:p>
    <w:p w:rsidR="00033261" w:rsidRDefault="00033261" w:rsidP="005A1C4A">
      <w:pPr>
        <w:pStyle w:val="GvdeMetni"/>
        <w:numPr>
          <w:ilvl w:val="0"/>
          <w:numId w:val="5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Yangına neden olabilecek kaynakları tanımlamak, ve mümkünse yangın riskini azaltmak için gerekli önlemleri almak.</w:t>
      </w:r>
    </w:p>
    <w:p w:rsidR="00033261" w:rsidRDefault="00033261" w:rsidP="005A1C4A">
      <w:pPr>
        <w:pStyle w:val="GvdeMetni"/>
        <w:numPr>
          <w:ilvl w:val="0"/>
          <w:numId w:val="5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Çalışma alanında bulunan yanabilir maddeleri tanımlamak, ve bu maddeleri ateşleme kaynaklarından uzak yerlerde depolamak.</w:t>
      </w:r>
    </w:p>
    <w:p w:rsidR="00033261" w:rsidRDefault="00033261" w:rsidP="005A1C4A">
      <w:pPr>
        <w:pStyle w:val="GvdeMetni"/>
        <w:numPr>
          <w:ilvl w:val="0"/>
          <w:numId w:val="5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Potansiyel bir yangında risk altında bulunan personeli tanımlamak, ve bu riskin azaltılması için gerekli önlemleri almak.</w:t>
      </w:r>
    </w:p>
    <w:p w:rsidR="00033261" w:rsidRDefault="00033261" w:rsidP="00033261">
      <w:pPr>
        <w:pStyle w:val="GvdeMetni"/>
        <w:tabs>
          <w:tab w:val="num" w:pos="709"/>
        </w:tabs>
        <w:jc w:val="both"/>
        <w:rPr>
          <w:rFonts w:cs="Arial"/>
        </w:rPr>
      </w:pP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3.1. Ateşleme Kaynakları</w:t>
      </w:r>
    </w:p>
    <w:p w:rsidR="00033261" w:rsidRDefault="00033261" w:rsidP="00033261">
      <w:pPr>
        <w:pStyle w:val="GvdeMetni"/>
        <w:tabs>
          <w:tab w:val="left" w:pos="709"/>
        </w:tabs>
        <w:ind w:firstLine="720"/>
        <w:jc w:val="both"/>
        <w:rPr>
          <w:rFonts w:cs="Arial"/>
        </w:rPr>
      </w:pPr>
      <w:r>
        <w:rPr>
          <w:rFonts w:cs="Arial"/>
        </w:rPr>
        <w:t>LİMAK binası içinde muhtemel ateşleme kaynakları, ısıtıcılar, ocaklar, elektrikli aletlerdir. Bunların hatalı veya normal kullanımı sonucunda da bir kaza meydana gelebilir.</w:t>
      </w:r>
    </w:p>
    <w:p w:rsidR="00033261" w:rsidRDefault="00033261" w:rsidP="005A1C4A">
      <w:pPr>
        <w:pStyle w:val="GvdeMetni"/>
        <w:numPr>
          <w:ilvl w:val="0"/>
          <w:numId w:val="5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lastRenderedPageBreak/>
        <w:t>Bu kaynaklar mümkün olduğunca çalışma alanlarından uzak tutulmalı ve mümkünse daha güvenli olanlarıyla değiştirilmelidirler.</w:t>
      </w:r>
    </w:p>
    <w:p w:rsidR="00033261" w:rsidRDefault="00033261" w:rsidP="005A1C4A">
      <w:pPr>
        <w:pStyle w:val="GvdeMetni"/>
        <w:numPr>
          <w:ilvl w:val="0"/>
          <w:numId w:val="5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Bu kaynaklar, yanabilen maddelerden uzak tutulmalıdırlar.</w:t>
      </w:r>
    </w:p>
    <w:p w:rsidR="00033261" w:rsidRDefault="00033261" w:rsidP="005A1C4A">
      <w:pPr>
        <w:pStyle w:val="GvdeMetni"/>
        <w:numPr>
          <w:ilvl w:val="0"/>
          <w:numId w:val="5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Sigara içmenin izin verildiği alanlarda özel dikkat sarf edilmelidir.</w:t>
      </w:r>
    </w:p>
    <w:p w:rsidR="00033261" w:rsidRDefault="00033261" w:rsidP="00033261">
      <w:pPr>
        <w:pStyle w:val="GvdeMetni"/>
        <w:tabs>
          <w:tab w:val="left" w:pos="709"/>
        </w:tabs>
        <w:ind w:firstLine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3.2.  Yanabilir Maddeler</w:t>
      </w:r>
    </w:p>
    <w:p w:rsidR="00033261" w:rsidRDefault="00033261" w:rsidP="00033261">
      <w:pPr>
        <w:pStyle w:val="GvdeMetni"/>
        <w:tabs>
          <w:tab w:val="left" w:pos="709"/>
        </w:tabs>
        <w:ind w:firstLine="720"/>
        <w:jc w:val="both"/>
        <w:rPr>
          <w:rFonts w:cs="Arial"/>
        </w:rPr>
      </w:pPr>
      <w:r>
        <w:rPr>
          <w:rFonts w:cs="Arial"/>
        </w:rPr>
        <w:t>Yangınlar genellikle yanabilen maddelerin bulunduğu yerlerde başlar ve yine bu maddeler nedeni ile yayılırlar. LİMAK çalışma alanlarında bunun gibi; tahta, kağıt, karton gibi yanabilen maddeler bulunmaktadır.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Yanabilen maddeler, ateşleme kaynaklarından uzakta kullanıldıkları ve depolandıkları sürece bir sorun teşkil etmemektedirler.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Çalışma alanlarında bulunan bu yanabilen maddelerin miktarları olabildiğince az tutulmalıdır.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Bu maddeler, koridor, acil çıkış, merdiven gibi yerlerde bulundurulmamalı veya depolanmamalıdır.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Bu durumun önlenmesi için atıklar düzenli olarak toplanmalı ve uzaklaştırılmalıdırlar.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3.3.  Risk Altındaki Personel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Çalışma alanında çıkan bir yangın hızlı bir şekilde tüm ofise yayılabileceği için bütün personel risk altında bulunmaktadır.</w:t>
      </w:r>
    </w:p>
    <w:p w:rsidR="00033261" w:rsidRDefault="00033261" w:rsidP="005A1C4A">
      <w:pPr>
        <w:pStyle w:val="GvdeMetni"/>
        <w:numPr>
          <w:ilvl w:val="0"/>
          <w:numId w:val="3"/>
        </w:numPr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Çalışma alanında gerekli yangın söndürme ekipmanı bulundurulmalıdır.</w:t>
      </w:r>
    </w:p>
    <w:p w:rsidR="00033261" w:rsidRDefault="00033261" w:rsidP="005A1C4A">
      <w:pPr>
        <w:pStyle w:val="GvdeMetni"/>
        <w:numPr>
          <w:ilvl w:val="0"/>
          <w:numId w:val="3"/>
        </w:numPr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Yüksek derecede risk teşkil eden tehlikeler mümkün olduğunca azaltılmalıdır.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4. OFİS İMKANLARI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4.1.  Yangının Belirlenmesi ve Acil Durum Uyarısı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Herhangi bir yangın veya acil durumda, tüm personelin derhal uyarılması zorunludur.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Yangın/acil durumu keşfeden kişinin yüksek sesle/bağırarak uyarısı da durumun çalışma alanında duyulmasını sağlayacaktır.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 xml:space="preserve">Acil durumun duyulmasıyla birlikte bütün personel ve ziyaretçiler binayı acil çıkış yollarını kullanarak tahliye etmeli ve </w:t>
      </w:r>
      <w:r>
        <w:rPr>
          <w:rFonts w:cs="Arial"/>
          <w:b/>
          <w:bCs/>
        </w:rPr>
        <w:t xml:space="preserve">toplama noktasında </w:t>
      </w:r>
      <w:r>
        <w:rPr>
          <w:rFonts w:cs="Arial"/>
        </w:rPr>
        <w:t>bir araya gelmelidirler.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4.2.  Kaçış Rotası 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 xml:space="preserve">Kaçış yolları </w:t>
      </w:r>
      <w:r>
        <w:rPr>
          <w:rFonts w:cs="Arial"/>
          <w:b/>
          <w:bCs/>
        </w:rPr>
        <w:t>“Kat Planlarında ”</w:t>
      </w:r>
      <w:r>
        <w:rPr>
          <w:rFonts w:cs="Arial"/>
        </w:rPr>
        <w:t xml:space="preserve"> nda gösterilmiştir.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Bütün personel, kaçış yollarını öğrenmekle yükümlüdür.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4.3. Yangın Söndürme Ekipmanı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Çalışma alanında çıkan bir yangın, güvenli bir şekilde eğitimli personel tarafından söndürülebilirse, diğer personelin içinde bulunduğu risk ortadan kalkacaktır.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Her katta yangın söndürücü bulundurulmalıdır. Bu ekipmanlar kat sorumlularınca haftalık olarak kontrol edilecektir.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 xml:space="preserve">Yangın söndürücülerin yerleri;  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>Bodrum  : ...........................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>Zemin Kat:.............................</w:t>
      </w:r>
    </w:p>
    <w:p w:rsidR="00033261" w:rsidRDefault="00033261" w:rsidP="005A1C4A">
      <w:pPr>
        <w:pStyle w:val="GvdeMetni"/>
        <w:numPr>
          <w:ilvl w:val="0"/>
          <w:numId w:val="4"/>
        </w:numPr>
        <w:spacing w:before="120" w:after="0" w:line="360" w:lineRule="auto"/>
        <w:ind w:left="0" w:firstLine="720"/>
        <w:rPr>
          <w:rFonts w:cs="Arial"/>
        </w:rPr>
      </w:pPr>
      <w:r>
        <w:rPr>
          <w:rFonts w:cs="Arial"/>
        </w:rPr>
        <w:t>Kat  :  ...............................</w:t>
      </w:r>
    </w:p>
    <w:p w:rsidR="00033261" w:rsidRDefault="00033261" w:rsidP="005A1C4A">
      <w:pPr>
        <w:pStyle w:val="GvdeMetni"/>
        <w:numPr>
          <w:ilvl w:val="0"/>
          <w:numId w:val="4"/>
        </w:numPr>
        <w:spacing w:before="120" w:after="0" w:line="360" w:lineRule="auto"/>
        <w:ind w:left="0" w:firstLine="720"/>
        <w:rPr>
          <w:rFonts w:cs="Arial"/>
        </w:rPr>
      </w:pPr>
      <w:r>
        <w:rPr>
          <w:rFonts w:cs="Arial"/>
        </w:rPr>
        <w:t>Kat : ...................................</w:t>
      </w:r>
    </w:p>
    <w:p w:rsidR="00033261" w:rsidRDefault="00033261" w:rsidP="005A1C4A">
      <w:pPr>
        <w:pStyle w:val="GvdeMetni"/>
        <w:numPr>
          <w:ilvl w:val="0"/>
          <w:numId w:val="4"/>
        </w:numPr>
        <w:spacing w:before="120" w:after="0" w:line="360" w:lineRule="auto"/>
        <w:ind w:left="0" w:firstLine="720"/>
        <w:rPr>
          <w:rFonts w:cs="Arial"/>
        </w:rPr>
      </w:pPr>
      <w:r>
        <w:rPr>
          <w:rFonts w:cs="Arial"/>
        </w:rPr>
        <w:t>Kat : ...................................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4.4.  Tehlikelerin Raporlanması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Her türlü potansiyel tehlike (yangın, duman, gaz kaçağı, vs.) zaman kaybetmeden yönetime rapor edilmelidir.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Bu raporda, mevcut tehlike, gerekli düzeltici faaliyet, ve bu düzeltici faaliyetten sorumlu personel belirtilmelidir.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5. ACİL DURUM DAVRANIŞLARI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5.1.  Acil Durum Tahliye Prosedürü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</w:rPr>
      </w:pPr>
      <w:r>
        <w:rPr>
          <w:rFonts w:cs="Arial"/>
        </w:rPr>
        <w:t>“Acil durum duyulur duyulmaz bütün personel işini kesip planlardaki kaçış yollarını kullanarak binayı tahliye etmeli ve belirtilen toplanma noktasına gitmelidir. Yönetim tarafından aksi belirtilmedikçe burada kalınmalıdır”.</w:t>
      </w:r>
    </w:p>
    <w:p w:rsidR="00033261" w:rsidRDefault="00033261" w:rsidP="00033261">
      <w:pPr>
        <w:pStyle w:val="GvdeMetni"/>
        <w:ind w:firstLine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5.2 Acil Durum/Yangın Halinde Yapılması Gerekenler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Personel sakin kalmalıdır.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Acil durum/ yangın zaman kaybetmeden LİMAK  yönetimine detaylarıyla rapor edilmelidir.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Olayı rapor ederken dikkat edilmesi gerekenler;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Açık ve net olun!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Mevcut durum ne?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Olay nerede?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Kimsiniz?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Tehlike altında bulunan biri var mı?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Gereken acil durum servisleri neler?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5.3.  Acil Durum/Yangın Halinden Sonra Yapılması Gerekenler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</w:rPr>
        <w:t xml:space="preserve">Gelecekteki araştırmalarda ortaya çıkabilecek hataları ve yanlışları önlemek için hiçbir şekilde olay mahaline dokunulmamalı ve girilmemelidir. </w:t>
      </w:r>
      <w:r>
        <w:rPr>
          <w:rFonts w:cs="Arial"/>
          <w:b/>
          <w:bCs/>
        </w:rPr>
        <w:t xml:space="preserve"> 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 xml:space="preserve">Personel, yangın söndürücüleri değiştirmemelidir. Yangın söndürücülerin kontrolü ve tekrar doldurulması için yetkili bir şirketle anlaşılmalıdır. 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6. GÜVENLİK ORGANİZASYONU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6.1.  İşaret ve Uyarılar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>Her türlü işaret ve uyarı;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Uygun bir boyut ve renkte olmalıdır.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Açıkça görülmelidir.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Uygun yerlere yerleştirilmeli/asılmalıdır.</w:t>
      </w:r>
    </w:p>
    <w:p w:rsidR="00033261" w:rsidRDefault="00033261" w:rsidP="00033261">
      <w:pPr>
        <w:pStyle w:val="GvdeMetni"/>
        <w:tabs>
          <w:tab w:val="left" w:pos="709"/>
        </w:tabs>
        <w:ind w:firstLine="720"/>
        <w:jc w:val="both"/>
        <w:rPr>
          <w:rFonts w:cs="Arial"/>
        </w:rPr>
      </w:pP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 xml:space="preserve">7. ZİYARETÇİLER 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7.1.  Ziyaretçiler veya Diğer Kişiler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 xml:space="preserve">Ziyaretçilerin veya diğer kişilerin, geldikleri/ziyaret ettikleri kişinin izni olmadan binaya alınmaları yasaktır. 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>LİMAK  binasında bulunan görevli, bütün ziyaretçilerin geliş ve gidişlerini ziyaretçi defterine kaydetmekle yükümlüdür.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8. YANGINDAN KORUNMA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8.1.  Önleyici Faaliyetler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>Tüm personel yangın önlemlerine azami derecede özen ve çaba göstermekle ve mümkün olduğunca önleyici faaliyetlerde bulunmakla yükümlüdür.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  <w:b/>
          <w:bCs/>
        </w:rPr>
        <w:t>8.2.  Genel Düzen ve Temizlik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Yangın söndürme malzemeleri, kaçış yolları ve acil çıkışlar her zaman kolayca ulaşılabilir olmalıdır.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 xml:space="preserve">Yanabilen ve kolayca alev alabilen maddeler için uygun depo alanları sağlanmalı ve atıklar günlük olarak toplanmalıdır. 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Yeterli sayıda yangın söndürücü bulundurulmalıdır.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Tüm yangın söndürme ekipmanı düzenli olarak kontrol edilmelidir.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9. YANGIN VE DİĞER ACİL DURUMLAR İÇİN GENEL AÇIKLAMALAR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9.1.  Genel Prosedürler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>Yangın çıkması durumunda personel aşağıdaki talimata uyacaktır:,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Yangını gören kişi derhal bina sorumlusuna veya yardımcısına haber verir.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Yangın mahallindeki yangın söndürme ekibi derhal devreye girerek itfaiye gelene kadar yangını söndürmeye ve yayılmasını/genişlemesini engellemeye çalışır.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İtfaiyeye haber verilir. Yangın çıkan yerin hava akımını azaltmak için kapı ve pencereler kapalı tutulur.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 xml:space="preserve">Kurtarma ekibi tarafından yangın mahalinde ve yakınındaki yerlerde bulunan kıymetli evrak v.s. lerin acil sırasına göre tahliyesi sağlanır. Tahliye yapılan yer bina içindekilere duyurulur. 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Kat sorumluları acil durumda kendi katlarında son kontrolleri yapacaklar (katta mahsur kalan var mı?)  ve gerekli koordinasyonu sağlayacaklardır.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İlk yardım ekibi binada çıkabilecek yangında yaralanan ve hastalanan kişilere ilk müdahaleyi yaparak en yakın sağlık kuruluşuna sevkini sağlar.</w:t>
      </w:r>
    </w:p>
    <w:p w:rsidR="00033261" w:rsidRDefault="00033261" w:rsidP="00033261">
      <w:pPr>
        <w:pStyle w:val="GvdeMetni"/>
        <w:tabs>
          <w:tab w:val="left" w:pos="709"/>
          <w:tab w:val="num" w:pos="1440"/>
        </w:tabs>
        <w:ind w:firstLine="720"/>
        <w:jc w:val="both"/>
        <w:rPr>
          <w:rFonts w:cs="Arial"/>
        </w:rPr>
      </w:pPr>
    </w:p>
    <w:p w:rsidR="00033261" w:rsidRDefault="00033261" w:rsidP="00033261">
      <w:pPr>
        <w:pStyle w:val="GvdeMetni"/>
        <w:tabs>
          <w:tab w:val="left" w:pos="709"/>
          <w:tab w:val="num" w:pos="1440"/>
        </w:tabs>
        <w:ind w:firstLine="720"/>
        <w:jc w:val="both"/>
        <w:rPr>
          <w:rFonts w:cs="Arial"/>
        </w:rPr>
      </w:pPr>
    </w:p>
    <w:p w:rsidR="00033261" w:rsidRDefault="00033261" w:rsidP="00033261">
      <w:pPr>
        <w:pStyle w:val="GvdeMetni"/>
        <w:tabs>
          <w:tab w:val="left" w:pos="0"/>
        </w:tabs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 xml:space="preserve">Acil durum ekiplerinin listesi </w:t>
      </w:r>
      <w:r>
        <w:rPr>
          <w:rFonts w:cs="Arial"/>
          <w:b/>
          <w:bCs/>
          <w:i/>
          <w:iCs/>
        </w:rPr>
        <w:t>EK 1</w:t>
      </w:r>
      <w:r>
        <w:rPr>
          <w:rFonts w:cs="Arial"/>
          <w:b/>
          <w:bCs/>
        </w:rPr>
        <w:t xml:space="preserve"> de verilmiştir.</w:t>
      </w:r>
    </w:p>
    <w:p w:rsidR="00033261" w:rsidRDefault="00033261" w:rsidP="00033261">
      <w:pPr>
        <w:pStyle w:val="GvdeMetni"/>
        <w:tabs>
          <w:tab w:val="left" w:pos="0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Mümkünse, çevredeki elektrikli aletleri kapatın. </w:t>
      </w:r>
    </w:p>
    <w:p w:rsidR="00033261" w:rsidRDefault="00033261" w:rsidP="00033261">
      <w:pPr>
        <w:pStyle w:val="GvdeMetni"/>
        <w:tabs>
          <w:tab w:val="left" w:pos="0"/>
        </w:tabs>
        <w:ind w:firstLine="720"/>
        <w:jc w:val="both"/>
        <w:rPr>
          <w:rFonts w:cs="Arial"/>
        </w:rPr>
      </w:pPr>
      <w:r>
        <w:rPr>
          <w:rFonts w:cs="Arial"/>
        </w:rPr>
        <w:t>Alarm duyulduğunda personelin yapması gerekenler: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İşinizi derhal bırakın.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Binayı tahliye edin.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Eğer gerekli eğitimi aldıysanız ve imkan varsa, yangın söndürücüleri kullanarak; kendi tahliyenizi, bir başkasının tahliyesini ve yangın kontrolünü sağlayın.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Binayı belirtilmiş olan kaçış yollarından size göre en kısa olanını kullanarak boşaltın.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  <w:b/>
          <w:bCs/>
        </w:rPr>
        <w:t>Koşmadan</w:t>
      </w:r>
      <w:r>
        <w:rPr>
          <w:rFonts w:cs="Arial"/>
        </w:rPr>
        <w:t>, yürüyerek, belirtilen toplama noktasına gidin.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lastRenderedPageBreak/>
        <w:t>Arkanızda açık kapı bırakmayın, mümkünse bütün kapıları kapatın fakat kilitlemeyin.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Sıcak kapılara dokunmayın ve bu kapıları açmayın, başka bir çıkış yolunu kullanın.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Tehlikeli veya duman olan alanlardan geçmeyin.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Duruma müdahale etmek için gelen acil  servis ekiplerine detaylı ve gerekli bilgileri verin.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Acil servis ekiplerinin güvenlikleri açısından tehlike ve riskleri bilmelidir.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  <w:b/>
          <w:bCs/>
        </w:rPr>
      </w:pPr>
      <w:r>
        <w:rPr>
          <w:rFonts w:cs="Arial"/>
        </w:rPr>
        <w:t xml:space="preserve">Personel, yönetim tarafından aksi belirtilmedikçe hiçbir durumda binaya </w:t>
      </w:r>
      <w:r>
        <w:rPr>
          <w:rFonts w:cs="Arial"/>
          <w:b/>
          <w:bCs/>
        </w:rPr>
        <w:t>tekrar girmemelidir.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Aşırı derecede dumana  maruz kalan kişileri temiz bir alana götürüp tıbbı yardım çağırın.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Sizin veya bir başkasının giysisi alev alırsa, düşür-ve-yuvarla tekniğini kullanarak veya bir battaniyeye sararak veya soğuk su kullanarak yanan giysiyi söndürün.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num" w:pos="709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Yaralanan kişilerin şoka girmelerini önlemek için korumaya alıp acilen tıbbı yardım alın.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9.2.  Duman, Isı, Alev, veya Diğer Tehlikeler Nedeniyle Tuzağa Düşerseniz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>Sizi tuzağa düşüren herhangi bir tehlike durumunda: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Kapıları kapalı fakat kilitlemeden bırakınız.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Kapı aralıklarını ve havalandırma ızgaralarını, bez, ıslak havlu vay giysilerinizi kullanarak kapatınız.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Çevrenizdekileri uyarmak için mümkünse telefonu kullanınız.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Kurtarmaya gelecek ekiplerin görebilecekleri büyüklükte bir bez parçasını pencereden dışarıya asınız.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Odaya duman girmesi durumunda, dumanın seyrelmesi için cam açınız.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Fazla dumanı solumamak için yüzünüzü, burnunuzu, ve ağzınızı bir bez parçasıyla sarınız.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 xml:space="preserve">Havanız daha temiz olması ve nefes almanın daha kolay olması nedeniyle yere yakın durunuz. 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>9.3.  Ekiplerin Görev ve Sorumlulukları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Söndürme Ekibi;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 xml:space="preserve">Binada çıkacak yangınlara derhal müdahale edip söndürme çalışmaları yapmak. 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İtfaiye gelinceye kadar yangının genişlemesine engel olmak.</w:t>
      </w:r>
    </w:p>
    <w:p w:rsidR="00033261" w:rsidRDefault="00033261" w:rsidP="00033261">
      <w:pPr>
        <w:pStyle w:val="GvdeMetni"/>
        <w:tabs>
          <w:tab w:val="left" w:pos="709"/>
          <w:tab w:val="num" w:pos="1134"/>
        </w:tabs>
        <w:jc w:val="both"/>
        <w:rPr>
          <w:rFonts w:cs="Arial"/>
        </w:rPr>
      </w:pPr>
    </w:p>
    <w:p w:rsidR="00033261" w:rsidRDefault="00033261" w:rsidP="00033261">
      <w:pPr>
        <w:pStyle w:val="GvdeMetni"/>
        <w:ind w:firstLine="720"/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Kurtarma Ekibi;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Yangın halinde öncelikle Can Kurtarma çalışmasını gerçekleştirmek.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Binada bulunan eşyaların acil durum planına göre sırasıyla kurtarma çalışmalarını yapmak.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Koruma Ekibi;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Kurtarılan eşyayı korumak, meydana gelen panik ve karmaşayı önlemek.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t>İlk Yardım Ekibi;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Yaralanan ve hastalanan kişilere olay yerinde ilk yardım yapmak.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 xml:space="preserve">Yaralanan kişilerden durumu ağır olanların derhal bir sağlık kurumuna sevkini yapmak. 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  <w:i/>
          <w:iCs/>
          <w:u w:val="single"/>
        </w:rPr>
      </w:pPr>
      <w:r>
        <w:rPr>
          <w:rFonts w:cs="Arial"/>
          <w:b/>
          <w:bCs/>
          <w:i/>
          <w:iCs/>
          <w:u w:val="single"/>
        </w:rPr>
        <w:lastRenderedPageBreak/>
        <w:t>Kat Sorumlusu;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Acil Durumlarda mümkünse sorumlu oldukları kat(lar)ın son kontrollerini yapmak (katta mahsur kalan var mı?)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Düzenli olarak her hafta sorumlu oldukları kar(lar) ın yangın ekipmanlarını kontrol etmek, yangına neden olabilecek yanıcı maddelerin ortada olmamasını sağlamak.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Acil durumlarda sorumlu oldukları kat(lar) da görevli olan ekiplerin koordinasyonunu sağlamak.</w:t>
      </w:r>
    </w:p>
    <w:p w:rsidR="00033261" w:rsidRDefault="00033261" w:rsidP="00033261">
      <w:pPr>
        <w:pStyle w:val="GvdeMetni"/>
        <w:tabs>
          <w:tab w:val="left" w:pos="709"/>
          <w:tab w:val="num" w:pos="1440"/>
        </w:tabs>
        <w:ind w:firstLine="720"/>
        <w:jc w:val="both"/>
        <w:rPr>
          <w:rFonts w:cs="Arial"/>
        </w:rPr>
      </w:pP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  <w:b/>
          <w:bCs/>
        </w:rPr>
        <w:t>Kat sorumlularının listesi Ek : 1 de verilmiştir.</w:t>
      </w:r>
    </w:p>
    <w:p w:rsidR="00033261" w:rsidRDefault="00033261" w:rsidP="00033261">
      <w:pPr>
        <w:pStyle w:val="GvdeMetni"/>
        <w:ind w:firstLine="720"/>
        <w:rPr>
          <w:rFonts w:cs="Arial"/>
          <w:b/>
          <w:bCs/>
        </w:rPr>
      </w:pPr>
      <w:r>
        <w:rPr>
          <w:rFonts w:cs="Arial"/>
          <w:b/>
          <w:bCs/>
        </w:rPr>
        <w:t xml:space="preserve">10. DEPREM </w:t>
      </w:r>
    </w:p>
    <w:p w:rsidR="00033261" w:rsidRDefault="00033261" w:rsidP="00033261">
      <w:pPr>
        <w:pStyle w:val="GvdeMetni"/>
        <w:ind w:firstLine="720"/>
        <w:rPr>
          <w:rFonts w:cs="Arial"/>
        </w:rPr>
      </w:pPr>
      <w:r>
        <w:rPr>
          <w:rFonts w:cs="Arial"/>
        </w:rPr>
        <w:t xml:space="preserve"> Deprem olması durumunda uyulması gereken kurallar.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Üst katlar alt katlardan daha çok sallanacağı için bu katlarda daha dikkatli olun.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Başınızı çanta, minder, kitap, klasör, gibi şeylere koruyun.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Masaya yakınsanız altına girin.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Asansörü kullanmayın. Asansörde iseniz bütün düğmelere basın ve durduğu ilk katta asansörden inin.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Binadan çıkmak için yangın merdivenlerini kullanın.</w:t>
      </w:r>
    </w:p>
    <w:p w:rsidR="00033261" w:rsidRDefault="00033261" w:rsidP="005A1C4A">
      <w:pPr>
        <w:pStyle w:val="GvdeMetni"/>
        <w:numPr>
          <w:ilvl w:val="1"/>
          <w:numId w:val="2"/>
        </w:numPr>
        <w:tabs>
          <w:tab w:val="left" w:pos="709"/>
          <w:tab w:val="num" w:pos="1134"/>
        </w:tabs>
        <w:spacing w:before="120" w:after="0" w:line="360" w:lineRule="auto"/>
        <w:ind w:left="0" w:firstLine="720"/>
        <w:jc w:val="both"/>
        <w:rPr>
          <w:rFonts w:cs="Arial"/>
        </w:rPr>
      </w:pPr>
      <w:r>
        <w:rPr>
          <w:rFonts w:cs="Arial"/>
        </w:rPr>
        <w:t>Binadan çıktıktan sonra yakında büyük bir ağaç varsa altına gidip bekleyin. Ağaç dalları düşen parçaların hızını kesebilir ya da bazı parçaları tutabilir.</w:t>
      </w:r>
    </w:p>
    <w:p w:rsidR="00031A7A" w:rsidRDefault="00031A7A" w:rsidP="00031A7A">
      <w:pPr>
        <w:spacing w:before="120" w:line="360" w:lineRule="auto"/>
        <w:ind w:firstLine="284"/>
        <w:jc w:val="both"/>
        <w:rPr>
          <w:rFonts w:ascii="Calibri" w:eastAsia="Times New Roman" w:hAnsi="Calibri" w:cs="Times New Roman"/>
        </w:rPr>
      </w:pPr>
    </w:p>
    <w:p w:rsidR="00792F23" w:rsidRDefault="00792F23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031A7A" w:rsidRDefault="00031A7A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031A7A" w:rsidRDefault="00031A7A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031A7A" w:rsidRDefault="00031A7A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031A7A" w:rsidRDefault="00031A7A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okudum .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AA" w:rsidRDefault="006F0EAA" w:rsidP="00124B7C">
      <w:pPr>
        <w:spacing w:after="0" w:line="240" w:lineRule="auto"/>
      </w:pPr>
      <w:r>
        <w:separator/>
      </w:r>
    </w:p>
  </w:endnote>
  <w:endnote w:type="continuationSeparator" w:id="0">
    <w:p w:rsidR="006F0EAA" w:rsidRDefault="006F0EAA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AA" w:rsidRDefault="006F0EAA" w:rsidP="00124B7C">
      <w:pPr>
        <w:spacing w:after="0" w:line="240" w:lineRule="auto"/>
      </w:pPr>
      <w:r>
        <w:separator/>
      </w:r>
    </w:p>
  </w:footnote>
  <w:footnote w:type="continuationSeparator" w:id="0">
    <w:p w:rsidR="006F0EAA" w:rsidRDefault="006F0EAA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279"/>
    <w:multiLevelType w:val="hybridMultilevel"/>
    <w:tmpl w:val="706E8EBA"/>
    <w:lvl w:ilvl="0" w:tplc="041F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BEF447C"/>
    <w:multiLevelType w:val="hybridMultilevel"/>
    <w:tmpl w:val="2AD6AA4C"/>
    <w:lvl w:ilvl="0" w:tplc="A866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E06EE"/>
    <w:multiLevelType w:val="hybridMultilevel"/>
    <w:tmpl w:val="CE2E6DF6"/>
    <w:lvl w:ilvl="0" w:tplc="45DA101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000000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54928"/>
    <w:multiLevelType w:val="hybridMultilevel"/>
    <w:tmpl w:val="B406F8C0"/>
    <w:lvl w:ilvl="0" w:tplc="041F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5E48E9"/>
    <w:multiLevelType w:val="hybridMultilevel"/>
    <w:tmpl w:val="FFA8844A"/>
    <w:lvl w:ilvl="0" w:tplc="A7608D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31A7A"/>
    <w:rsid w:val="00033261"/>
    <w:rsid w:val="00045AD9"/>
    <w:rsid w:val="00056CD4"/>
    <w:rsid w:val="000671F0"/>
    <w:rsid w:val="000B74FB"/>
    <w:rsid w:val="000C07A5"/>
    <w:rsid w:val="000C51DB"/>
    <w:rsid w:val="000C6C42"/>
    <w:rsid w:val="000D6141"/>
    <w:rsid w:val="00124B7C"/>
    <w:rsid w:val="00177EDE"/>
    <w:rsid w:val="001A2EF3"/>
    <w:rsid w:val="001A654A"/>
    <w:rsid w:val="001B7BD4"/>
    <w:rsid w:val="00216BD8"/>
    <w:rsid w:val="0022198C"/>
    <w:rsid w:val="002372FC"/>
    <w:rsid w:val="00246884"/>
    <w:rsid w:val="00251500"/>
    <w:rsid w:val="002B3C04"/>
    <w:rsid w:val="00315B2F"/>
    <w:rsid w:val="00327289"/>
    <w:rsid w:val="00343CDB"/>
    <w:rsid w:val="00352CFE"/>
    <w:rsid w:val="003B14F5"/>
    <w:rsid w:val="003B6960"/>
    <w:rsid w:val="003D1BC5"/>
    <w:rsid w:val="004026EC"/>
    <w:rsid w:val="00412318"/>
    <w:rsid w:val="004772A7"/>
    <w:rsid w:val="004A0B11"/>
    <w:rsid w:val="004A6473"/>
    <w:rsid w:val="004E4DA0"/>
    <w:rsid w:val="00522C69"/>
    <w:rsid w:val="00533B2B"/>
    <w:rsid w:val="0056571C"/>
    <w:rsid w:val="005A007A"/>
    <w:rsid w:val="005A1C4A"/>
    <w:rsid w:val="005A34ED"/>
    <w:rsid w:val="005B352D"/>
    <w:rsid w:val="005F07A2"/>
    <w:rsid w:val="0060136E"/>
    <w:rsid w:val="006148EE"/>
    <w:rsid w:val="00622F42"/>
    <w:rsid w:val="00622F5A"/>
    <w:rsid w:val="00656E78"/>
    <w:rsid w:val="00673B7A"/>
    <w:rsid w:val="006958A3"/>
    <w:rsid w:val="006F0EAA"/>
    <w:rsid w:val="00706323"/>
    <w:rsid w:val="0073693D"/>
    <w:rsid w:val="007807C3"/>
    <w:rsid w:val="00792F23"/>
    <w:rsid w:val="007A0A09"/>
    <w:rsid w:val="007E6EC3"/>
    <w:rsid w:val="0080580C"/>
    <w:rsid w:val="00812E90"/>
    <w:rsid w:val="00825DD9"/>
    <w:rsid w:val="00866534"/>
    <w:rsid w:val="00896879"/>
    <w:rsid w:val="008E4F07"/>
    <w:rsid w:val="00904B4D"/>
    <w:rsid w:val="00925375"/>
    <w:rsid w:val="009C3D21"/>
    <w:rsid w:val="00A36F00"/>
    <w:rsid w:val="00AB0AEE"/>
    <w:rsid w:val="00AC3B01"/>
    <w:rsid w:val="00B21313"/>
    <w:rsid w:val="00B4559B"/>
    <w:rsid w:val="00B52D24"/>
    <w:rsid w:val="00B85590"/>
    <w:rsid w:val="00B924F1"/>
    <w:rsid w:val="00BB6AD6"/>
    <w:rsid w:val="00C01FFD"/>
    <w:rsid w:val="00C551C6"/>
    <w:rsid w:val="00C63726"/>
    <w:rsid w:val="00C93C6B"/>
    <w:rsid w:val="00CD31B8"/>
    <w:rsid w:val="00CD37C0"/>
    <w:rsid w:val="00CF0735"/>
    <w:rsid w:val="00D40218"/>
    <w:rsid w:val="00D40731"/>
    <w:rsid w:val="00D8129C"/>
    <w:rsid w:val="00D94655"/>
    <w:rsid w:val="00D9650D"/>
    <w:rsid w:val="00DD0DEA"/>
    <w:rsid w:val="00E11F3E"/>
    <w:rsid w:val="00E24C41"/>
    <w:rsid w:val="00E30282"/>
    <w:rsid w:val="00E54CAC"/>
    <w:rsid w:val="00E87D40"/>
    <w:rsid w:val="00EA26EA"/>
    <w:rsid w:val="00EB4526"/>
    <w:rsid w:val="00ED1C4D"/>
    <w:rsid w:val="00EF43AE"/>
    <w:rsid w:val="00F03E22"/>
    <w:rsid w:val="00F248FD"/>
    <w:rsid w:val="00F53CDF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6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4A6473"/>
    <w:rPr>
      <w:b/>
      <w:bCs/>
    </w:rPr>
  </w:style>
  <w:style w:type="paragraph" w:styleId="GvdeMetniGirintisi2">
    <w:name w:val="Body Text Indent 2"/>
    <w:basedOn w:val="Normal"/>
    <w:link w:val="GvdeMetniGirintisi2Char"/>
    <w:rsid w:val="00ED1C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1C4D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0332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332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3A72-9E3E-423A-995D-3B68BCDC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2012-07-04T14:00:00Z</dcterms:created>
  <dcterms:modified xsi:type="dcterms:W3CDTF">2017-07-05T21:23:00Z</dcterms:modified>
</cp:coreProperties>
</file>